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jc w:val="both"/>
        <w:outlineLvl w:val="1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黑体" w:cs="黑体"/>
          <w:sz w:val="32"/>
          <w:szCs w:val="32"/>
        </w:rPr>
      </w:pPr>
    </w:p>
    <w:p>
      <w:pPr>
        <w:spacing w:line="580" w:lineRule="exact"/>
        <w:jc w:val="center"/>
        <w:outlineLvl w:val="1"/>
        <w:rPr>
          <w:rFonts w:hint="eastAsia" w:ascii="宋体" w:hAnsi="宋体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20</w:t>
      </w: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年规范性文件备案情况统计表</w:t>
      </w:r>
      <w:bookmarkEnd w:id="0"/>
    </w:p>
    <w:p>
      <w:pPr>
        <w:wordWrap w:val="0"/>
        <w:spacing w:line="580" w:lineRule="exact"/>
        <w:jc w:val="right"/>
        <w:outlineLvl w:val="1"/>
        <w:rPr>
          <w:rFonts w:hint="default" w:ascii="宋体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宋体" w:hAnsi="宋体" w:eastAsia="楷体_GB2312" w:cs="Times New Roman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楷体_GB2312" w:cs="Times New Roman"/>
          <w:sz w:val="28"/>
          <w:szCs w:val="28"/>
        </w:rPr>
        <w:t>单位：件</w:t>
      </w:r>
      <w:r>
        <w:rPr>
          <w:rFonts w:hint="eastAsia" w:ascii="宋体" w:hAnsi="宋体" w:eastAsia="楷体_GB2312" w:cs="Times New Roman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3612"/>
        <w:gridCol w:w="149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84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统  计  类  别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案</w:t>
            </w: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58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省政府规章和决定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命令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省政府规章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省政府决定、命令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</w:rPr>
              <w:t>法院</w:t>
            </w: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省检察院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经济特区法规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深圳经济特区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珠海经济特区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4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汕头经济特区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地级以上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市人大常委会决议、决定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广州市人大常委会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佛山市人大常委会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韶关市人大常委会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河源市人大常委会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梅州市人大常委会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惠州市人大常委会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汕尾市人大常委会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东莞市人大常委会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中山市人大常委会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江门市人大常委会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阳江市人大常委会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湛江市人大常委会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茂名市人大常委会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肇庆市人大常委会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清远市人大常委会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潮州市人大常委会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揭阳市人大常委会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云浮市人大常委会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地级以上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政府规章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广州市政府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9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佛山市政府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韶关市政府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河源市政府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梅州市政府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惠州市政府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汕尾市政府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东莞市政府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中山市政府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江门市政府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阳江市政府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湛江市政府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茂名市政府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肇庆市政府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清远市政府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潮州市政府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揭阳市政府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云浮市政府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总      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184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BD1DD-5050-4E16-A46F-54EC24D8D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F8B1B8-C4C3-46DF-86CF-48442AAEFC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8B864D-558C-45F9-846C-A860331B078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A96C52-CC90-4111-8D35-8589EB99EF5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9127AA8-E34E-4CB6-AF8F-52BEB8CCA7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2Q2Yzg3YmFiODE5NjQyMDFhNWRiNDQ5ZTdlOGYifQ=="/>
  </w:docVars>
  <w:rsids>
    <w:rsidRoot w:val="06191E68"/>
    <w:rsid w:val="061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2024-04-02T04:46:00Z</dcterms:created>
  <dc:creator>王昊</dc:creator>
  <cp:lastModifiedBy>王昊</cp:lastModifiedBy>
  <dcterms:modified xsi:type="dcterms:W3CDTF">2024-04-02T04:46:39Z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3BC01AEF83924057B8432936C5323BBC_11</vt:lpwstr>
  </property>
</Properties>
</file>