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EB" w:rsidRDefault="004C42EB" w:rsidP="004C42EB">
      <w:pPr>
        <w:shd w:val="solid" w:color="FFFFFF" w:fill="auto"/>
        <w:autoSpaceDN w:val="0"/>
        <w:spacing w:line="580" w:lineRule="exact"/>
        <w:ind w:left="300" w:right="300"/>
        <w:jc w:val="center"/>
        <w:rPr>
          <w:rFonts w:ascii="方正小标宋简体" w:eastAsia="方正小标宋简体" w:hAnsi="方正小标宋简体" w:cs="方正小标宋简体" w:hint="eastAsia"/>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关于选聘广东省十三届人大常委会</w:t>
      </w:r>
    </w:p>
    <w:p w:rsidR="004C42EB" w:rsidRDefault="004C42EB" w:rsidP="004C42EB">
      <w:pPr>
        <w:shd w:val="solid" w:color="FFFFFF" w:fill="auto"/>
        <w:autoSpaceDN w:val="0"/>
        <w:spacing w:line="580" w:lineRule="exact"/>
        <w:ind w:left="300" w:right="300"/>
        <w:jc w:val="center"/>
        <w:rPr>
          <w:rFonts w:ascii="方正小标宋简体" w:eastAsia="方正小标宋简体" w:hAnsi="方正小标宋简体" w:cs="方正小标宋简体" w:hint="eastAsia"/>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环保咨询专家的公告</w:t>
      </w:r>
    </w:p>
    <w:p w:rsidR="004C42EB" w:rsidRDefault="004C42EB" w:rsidP="004C42EB">
      <w:pPr>
        <w:shd w:val="solid" w:color="FFFFFF" w:fill="auto"/>
        <w:autoSpaceDN w:val="0"/>
        <w:spacing w:line="580" w:lineRule="exact"/>
        <w:ind w:left="300" w:right="300"/>
        <w:jc w:val="center"/>
        <w:rPr>
          <w:rFonts w:ascii="方正小标宋简体" w:eastAsia="方正小标宋简体" w:hAnsi="方正小标宋简体" w:cs="方正小标宋简体" w:hint="eastAsia"/>
          <w:b/>
          <w:sz w:val="44"/>
          <w:szCs w:val="44"/>
          <w:shd w:val="clear" w:color="auto" w:fill="FFFFFF"/>
        </w:rPr>
      </w:pPr>
    </w:p>
    <w:p w:rsidR="004C42EB" w:rsidRDefault="004C42EB" w:rsidP="004C42EB">
      <w:pPr>
        <w:shd w:val="solid" w:color="FFFFFF" w:fill="auto"/>
        <w:autoSpaceDN w:val="0"/>
        <w:spacing w:line="580" w:lineRule="exact"/>
        <w:ind w:left="300" w:right="300" w:firstLine="640"/>
        <w:jc w:val="left"/>
        <w:rPr>
          <w:rFonts w:ascii="黑体" w:eastAsia="黑体" w:hAnsi="黑体" w:cs="黑体" w:hint="eastAsia"/>
          <w:sz w:val="32"/>
          <w:szCs w:val="32"/>
          <w:shd w:val="clear" w:color="auto" w:fill="FFFFFF"/>
        </w:rPr>
      </w:pPr>
      <w:r>
        <w:rPr>
          <w:rFonts w:ascii="仿宋_GB2312" w:eastAsia="仿宋_GB2312" w:hAnsi="仿宋_GB2312" w:cs="仿宋_GB2312" w:hint="eastAsia"/>
          <w:sz w:val="32"/>
          <w:szCs w:val="32"/>
          <w:shd w:val="clear" w:color="auto" w:fill="FFFFFF"/>
        </w:rPr>
        <w:t>为继续拓展社会力量有序参与人大工作途径，有效发挥社会力量的作用，进一步提高人大相关工作质量和水平，经省人大常委会主任会</w:t>
      </w:r>
      <w:bookmarkStart w:id="0" w:name="_GoBack"/>
      <w:bookmarkEnd w:id="0"/>
      <w:r>
        <w:rPr>
          <w:rFonts w:ascii="仿宋_GB2312" w:eastAsia="仿宋_GB2312" w:hAnsi="仿宋_GB2312" w:cs="仿宋_GB2312" w:hint="eastAsia"/>
          <w:sz w:val="32"/>
          <w:szCs w:val="32"/>
          <w:shd w:val="clear" w:color="auto" w:fill="FFFFFF"/>
        </w:rPr>
        <w:t>议研究，决定公开选聘一批省十三届人大常委会环保咨询专家。现将有关事项公告如下：</w:t>
      </w:r>
    </w:p>
    <w:p w:rsidR="004C42EB" w:rsidRDefault="004C42EB" w:rsidP="004C42EB">
      <w:pPr>
        <w:shd w:val="solid" w:color="FFFFFF" w:fill="auto"/>
        <w:autoSpaceDN w:val="0"/>
        <w:spacing w:line="580" w:lineRule="exact"/>
        <w:ind w:left="300" w:right="300" w:firstLine="641"/>
        <w:jc w:val="left"/>
        <w:rPr>
          <w:rFonts w:ascii="仿宋_GB2312" w:eastAsia="仿宋_GB2312" w:hAnsi="仿宋_GB2312" w:cs="仿宋_GB2312" w:hint="eastAsia"/>
          <w:sz w:val="32"/>
          <w:szCs w:val="32"/>
          <w:shd w:val="clear" w:color="auto" w:fill="FFFFFF"/>
        </w:rPr>
      </w:pPr>
      <w:r>
        <w:rPr>
          <w:rFonts w:ascii="黑体" w:eastAsia="黑体" w:hAnsi="黑体" w:cs="黑体" w:hint="eastAsia"/>
          <w:bCs/>
          <w:sz w:val="32"/>
          <w:szCs w:val="32"/>
          <w:shd w:val="clear" w:color="auto" w:fill="FFFFFF"/>
        </w:rPr>
        <w:t>一、环保咨询专家的基本条件</w:t>
      </w:r>
    </w:p>
    <w:p w:rsidR="004C42EB" w:rsidRDefault="004C42EB" w:rsidP="004C42EB">
      <w:pPr>
        <w:shd w:val="solid" w:color="FFFFFF" w:fill="auto"/>
        <w:autoSpaceDN w:val="0"/>
        <w:spacing w:line="580" w:lineRule="exact"/>
        <w:ind w:left="300" w:right="300" w:firstLine="64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（一）讲政治守规矩，信念坚定，德才兼备，勤政为民，清正廉洁，依法办事，责任感强</w:t>
      </w:r>
      <w:r>
        <w:rPr>
          <w:rFonts w:eastAsia="仿宋_GB2312" w:hint="eastAsia"/>
          <w:sz w:val="32"/>
          <w:szCs w:val="32"/>
        </w:rPr>
        <w:t>；</w:t>
      </w:r>
    </w:p>
    <w:p w:rsidR="004C42EB" w:rsidRDefault="004C42EB" w:rsidP="004C42EB">
      <w:pPr>
        <w:shd w:val="solid" w:color="FFFFFF" w:fill="auto"/>
        <w:autoSpaceDN w:val="0"/>
        <w:spacing w:line="580" w:lineRule="exact"/>
        <w:ind w:left="300" w:right="300" w:firstLineChars="200" w:firstLine="64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（二）具有丰富的环境与资源保护专业理论知识和工作实践经验；</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（三）具有专门研究环境与资源保护工作的能力；</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（四）热心参与人大环境与资源保护工作各项活动；</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（五）身体健康，年龄一般不超过65周岁。</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黑体" w:eastAsia="黑体" w:hAnsi="黑体" w:cs="黑体" w:hint="eastAsia"/>
          <w:bCs/>
          <w:sz w:val="32"/>
          <w:szCs w:val="32"/>
          <w:shd w:val="clear" w:color="auto" w:fill="FFFFFF"/>
        </w:rPr>
        <w:t xml:space="preserve">　二、环保咨询专家的主要任务</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环保咨询专家主要是为省人大及其常委会做好环境与资源保护立法和监督工作提供智力支持和发挥参谋智囊作用。其主要任务是：</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（一）为省人大及其常委会审议环境与资源保护方面的议案、质询案及有关专项工作报告等提供分析咨询意见；</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（二）应邀参加省人大常委会和省人大环境与资源</w:t>
      </w:r>
      <w:r>
        <w:rPr>
          <w:rFonts w:ascii="仿宋_GB2312" w:eastAsia="仿宋_GB2312" w:hAnsi="仿宋_GB2312" w:cs="仿宋_GB2312" w:hint="eastAsia"/>
          <w:sz w:val="32"/>
          <w:szCs w:val="32"/>
          <w:shd w:val="clear" w:color="auto" w:fill="FFFFFF"/>
        </w:rPr>
        <w:lastRenderedPageBreak/>
        <w:t>保护委员会（以下简称环资委）开展的环境与资源保护方面的情况调研，并就存在的问题及解决办法提供咨询意见；</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（三）受省人大常委会或环资委的委托，对我省环境与资源保护方面的有关问题开展专项调查研究，提出调研报告；</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（四）应邀参与省人大常委会和环资委对环境与资源保护方面的地方性法规、规章以及有关的决议、决定和命令的审议或审查提供咨询意见；</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（五）参与培训全省人大环境与资源保护工作人员；</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（六）为省人大及其常委会其他工作机构提供业务咨询服务。</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sz w:val="32"/>
          <w:szCs w:val="32"/>
          <w:shd w:val="clear" w:color="auto" w:fill="FFFFFF"/>
        </w:rPr>
        <w:t xml:space="preserve">　　</w:t>
      </w:r>
      <w:r>
        <w:rPr>
          <w:rFonts w:ascii="黑体" w:eastAsia="黑体" w:hAnsi="黑体" w:cs="黑体" w:hint="eastAsia"/>
          <w:bCs/>
          <w:sz w:val="32"/>
          <w:szCs w:val="32"/>
          <w:shd w:val="clear" w:color="auto" w:fill="FFFFFF"/>
        </w:rPr>
        <w:t>三、选聘程序</w:t>
      </w:r>
    </w:p>
    <w:p w:rsidR="004C42EB" w:rsidRDefault="004C42EB" w:rsidP="004C42EB">
      <w:pPr>
        <w:shd w:val="solid" w:color="FFFFFF" w:fill="auto"/>
        <w:autoSpaceDN w:val="0"/>
        <w:spacing w:line="580" w:lineRule="exact"/>
        <w:ind w:left="300" w:right="300" w:firstLine="64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一）个人报名。应聘者经所在单位同意后，如实填写《广东省十三届人大常委会环保咨询专家选聘报名表》（见附件），连同本人身份证复印件，职称、学历、学位等证书复印件，以及与环保工作能力相关的证明材料等，于4月5日前（邮寄件以邮戳时间为准，传真、电子邮件以发出时间为准）交至省人大环资委办公室，并同时将填好的报名表电子版发至省人大环资委办公室电子邮箱</w:t>
      </w:r>
      <w:hyperlink r:id="rId5" w:history="1">
        <w:r>
          <w:rPr>
            <w:rFonts w:ascii="仿宋_GB2312" w:eastAsia="仿宋_GB2312" w:hAnsi="仿宋_GB2312" w:cs="仿宋_GB2312" w:hint="eastAsia"/>
            <w:sz w:val="32"/>
            <w:szCs w:val="32"/>
            <w:shd w:val="clear" w:color="auto" w:fill="FFFFFF"/>
          </w:rPr>
          <w:t>hzwb@gdrd.cn</w:t>
        </w:r>
      </w:hyperlink>
      <w:r>
        <w:rPr>
          <w:rFonts w:ascii="仿宋_GB2312" w:eastAsia="仿宋_GB2312" w:hAnsi="仿宋_GB2312" w:cs="仿宋_GB2312" w:hint="eastAsia"/>
          <w:sz w:val="32"/>
          <w:szCs w:val="32"/>
          <w:shd w:val="clear" w:color="auto" w:fill="FFFFFF"/>
        </w:rPr>
        <w:t>。</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（二）提出新聘任人选。对报名的人选进行资格审查后，4月下旬</w:t>
      </w:r>
      <w:r>
        <w:rPr>
          <w:rFonts w:ascii="宋体" w:eastAsia="仿宋_GB2312" w:hAnsi="宋体" w:hint="eastAsia"/>
          <w:color w:val="000000"/>
          <w:sz w:val="32"/>
          <w:szCs w:val="32"/>
        </w:rPr>
        <w:t>，</w:t>
      </w:r>
      <w:r>
        <w:rPr>
          <w:rFonts w:ascii="仿宋_GB2312" w:eastAsia="仿宋_GB2312" w:hAnsi="仿宋_GB2312" w:cs="仿宋_GB2312" w:hint="eastAsia"/>
          <w:sz w:val="32"/>
          <w:szCs w:val="32"/>
          <w:shd w:val="clear" w:color="auto" w:fill="FFFFFF"/>
        </w:rPr>
        <w:t>省人大常委会环保咨询专家聘请工作</w:t>
      </w:r>
      <w:r>
        <w:rPr>
          <w:rFonts w:ascii="宋体" w:eastAsia="仿宋_GB2312" w:hAnsi="宋体"/>
          <w:color w:val="000000"/>
          <w:sz w:val="32"/>
          <w:szCs w:val="32"/>
        </w:rPr>
        <w:t>领导小组</w:t>
      </w:r>
      <w:r>
        <w:rPr>
          <w:rFonts w:ascii="宋体" w:eastAsia="仿宋_GB2312" w:hAnsi="宋体" w:hint="eastAsia"/>
          <w:color w:val="000000"/>
          <w:sz w:val="32"/>
          <w:szCs w:val="32"/>
        </w:rPr>
        <w:t>召开</w:t>
      </w:r>
      <w:r>
        <w:rPr>
          <w:rFonts w:ascii="宋体" w:eastAsia="仿宋_GB2312" w:hAnsi="宋体"/>
          <w:color w:val="000000"/>
          <w:sz w:val="32"/>
          <w:szCs w:val="32"/>
        </w:rPr>
        <w:t>全体会议</w:t>
      </w:r>
      <w:r>
        <w:rPr>
          <w:rFonts w:ascii="宋体" w:eastAsia="仿宋_GB2312" w:hAnsi="宋体" w:hint="eastAsia"/>
          <w:color w:val="000000"/>
          <w:sz w:val="32"/>
          <w:szCs w:val="32"/>
        </w:rPr>
        <w:t>，</w:t>
      </w:r>
      <w:r>
        <w:rPr>
          <w:rFonts w:ascii="仿宋_GB2312" w:eastAsia="仿宋_GB2312" w:hAnsi="仿宋_GB2312" w:cs="仿宋_GB2312" w:hint="eastAsia"/>
          <w:sz w:val="32"/>
          <w:szCs w:val="32"/>
          <w:shd w:val="clear" w:color="auto" w:fill="FFFFFF"/>
        </w:rPr>
        <w:t>从合格人选中确定新聘任人选建</w:t>
      </w:r>
      <w:r>
        <w:rPr>
          <w:rFonts w:ascii="仿宋_GB2312" w:eastAsia="仿宋_GB2312" w:hAnsi="仿宋_GB2312" w:cs="仿宋_GB2312" w:hint="eastAsia"/>
          <w:sz w:val="32"/>
          <w:szCs w:val="32"/>
          <w:shd w:val="clear" w:color="auto" w:fill="FFFFFF"/>
        </w:rPr>
        <w:lastRenderedPageBreak/>
        <w:t>议名单。</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宋体" w:eastAsia="仿宋_GB2312" w:hAnsi="宋体"/>
          <w:color w:val="000000"/>
          <w:sz w:val="32"/>
          <w:szCs w:val="32"/>
        </w:rPr>
        <w:t>三）审定和</w:t>
      </w:r>
      <w:r>
        <w:rPr>
          <w:rFonts w:ascii="宋体" w:eastAsia="仿宋_GB2312" w:hAnsi="宋体" w:hint="eastAsia"/>
          <w:color w:val="000000"/>
          <w:sz w:val="32"/>
          <w:szCs w:val="32"/>
        </w:rPr>
        <w:t>颁</w:t>
      </w:r>
      <w:r>
        <w:rPr>
          <w:rFonts w:ascii="宋体" w:eastAsia="仿宋_GB2312" w:hAnsi="宋体"/>
          <w:color w:val="000000"/>
          <w:sz w:val="32"/>
          <w:szCs w:val="32"/>
        </w:rPr>
        <w:t>发聘书。</w:t>
      </w:r>
      <w:r>
        <w:rPr>
          <w:rFonts w:ascii="宋体" w:eastAsia="仿宋_GB2312" w:hAnsi="宋体"/>
          <w:color w:val="000000"/>
          <w:sz w:val="32"/>
          <w:szCs w:val="32"/>
        </w:rPr>
        <w:t>5</w:t>
      </w:r>
      <w:r>
        <w:rPr>
          <w:rFonts w:ascii="宋体" w:eastAsia="仿宋_GB2312" w:hAnsi="宋体" w:hint="eastAsia"/>
          <w:color w:val="000000"/>
          <w:sz w:val="32"/>
          <w:szCs w:val="32"/>
        </w:rPr>
        <w:t>月</w:t>
      </w:r>
      <w:r>
        <w:rPr>
          <w:rFonts w:ascii="仿宋_GB2312" w:eastAsia="仿宋_GB2312" w:hAnsi="仿宋_GB2312" w:cs="仿宋_GB2312" w:hint="eastAsia"/>
          <w:sz w:val="32"/>
          <w:szCs w:val="32"/>
          <w:shd w:val="clear" w:color="auto" w:fill="FFFFFF"/>
        </w:rPr>
        <w:t>中旬，省人大常委会环保咨询专家聘请工作领导小组将环保咨询专家拟聘人选（包括留任和新聘任人选）建议名单提请常委会主任会议审议。省人大常委会主任会议讨论决定聘任名单。5月中下旬，常委会办公厅在媒体上公布聘请结果，并致函环保咨询专家所在单位。5月下旬，在省人大常委会会议期间，由省人大常委会对受聘者颁发聘书，并在媒体上公布。</w:t>
      </w: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（联系人：乔长宝；联系电话：020-37866952；传真020-37866957；邮政编码：510080；通讯地址：广州市中山一路64号省人大环资委办公室）</w:t>
      </w:r>
    </w:p>
    <w:p w:rsidR="004C42EB" w:rsidRDefault="004C42EB" w:rsidP="004C42EB">
      <w:pPr>
        <w:shd w:val="solid" w:color="FFFFFF" w:fill="auto"/>
        <w:autoSpaceDN w:val="0"/>
        <w:spacing w:line="580" w:lineRule="exact"/>
        <w:ind w:left="300" w:right="300" w:firstLine="640"/>
        <w:jc w:val="left"/>
        <w:rPr>
          <w:rFonts w:ascii="仿宋_GB2312" w:eastAsia="仿宋_GB2312" w:hAnsi="仿宋_GB2312" w:cs="仿宋_GB2312" w:hint="eastAsia"/>
          <w:sz w:val="32"/>
          <w:szCs w:val="32"/>
          <w:shd w:val="clear" w:color="auto" w:fill="FFFFFF"/>
        </w:rPr>
      </w:pPr>
    </w:p>
    <w:p w:rsidR="004C42EB" w:rsidRDefault="004C42EB" w:rsidP="004C42EB">
      <w:pPr>
        <w:shd w:val="solid" w:color="FFFFFF" w:fill="auto"/>
        <w:autoSpaceDN w:val="0"/>
        <w:spacing w:line="580" w:lineRule="exact"/>
        <w:ind w:left="300" w:right="300"/>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附件：广东省十三届人大常委会环保咨询专家选聘报名表</w:t>
      </w:r>
    </w:p>
    <w:p w:rsidR="004C42EB" w:rsidRDefault="004C42EB" w:rsidP="004C42EB">
      <w:pPr>
        <w:shd w:val="solid" w:color="FFFFFF" w:fill="auto"/>
        <w:autoSpaceDN w:val="0"/>
        <w:spacing w:line="580" w:lineRule="exact"/>
        <w:ind w:left="300" w:right="300"/>
        <w:jc w:val="righ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w:t>
      </w:r>
    </w:p>
    <w:p w:rsidR="004C42EB" w:rsidRDefault="004C42EB" w:rsidP="004C42EB">
      <w:pPr>
        <w:shd w:val="solid" w:color="FFFFFF" w:fill="auto"/>
        <w:autoSpaceDN w:val="0"/>
        <w:spacing w:line="580" w:lineRule="exact"/>
        <w:ind w:left="300" w:right="300"/>
        <w:jc w:val="right"/>
        <w:rPr>
          <w:rFonts w:ascii="仿宋_GB2312" w:eastAsia="仿宋_GB2312" w:hAnsi="仿宋_GB2312" w:cs="仿宋_GB2312" w:hint="eastAsia"/>
          <w:sz w:val="32"/>
          <w:szCs w:val="32"/>
          <w:shd w:val="clear" w:color="auto" w:fill="FFFFFF"/>
        </w:rPr>
      </w:pPr>
    </w:p>
    <w:p w:rsidR="004C42EB" w:rsidRDefault="004C42EB" w:rsidP="004C42EB">
      <w:pPr>
        <w:shd w:val="solid" w:color="FFFFFF" w:fill="auto"/>
        <w:autoSpaceDN w:val="0"/>
        <w:spacing w:line="580" w:lineRule="exact"/>
        <w:ind w:left="300" w:right="300"/>
        <w:jc w:val="righ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广东省人大常委会办公厅</w:t>
      </w:r>
    </w:p>
    <w:p w:rsidR="004C42EB" w:rsidRDefault="004C42EB" w:rsidP="004C42EB">
      <w:pPr>
        <w:shd w:val="solid" w:color="FFFFFF" w:fill="auto"/>
        <w:autoSpaceDN w:val="0"/>
        <w:spacing w:line="580" w:lineRule="exact"/>
        <w:ind w:left="300" w:right="300"/>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2018年3月5日</w:t>
      </w:r>
    </w:p>
    <w:p w:rsidR="004C42EB" w:rsidRDefault="004C42EB" w:rsidP="004C42EB">
      <w:pPr>
        <w:shd w:val="solid" w:color="FFFFFF" w:fill="auto"/>
        <w:autoSpaceDN w:val="0"/>
        <w:spacing w:line="580" w:lineRule="exact"/>
        <w:ind w:leftChars="142" w:left="1258" w:right="300" w:hangingChars="300" w:hanging="960"/>
        <w:jc w:val="left"/>
        <w:rPr>
          <w:rFonts w:ascii="仿宋_GB2312" w:eastAsia="仿宋_GB2312" w:hAnsi="仿宋_GB2312" w:cs="仿宋_GB2312" w:hint="eastAsia"/>
          <w:sz w:val="32"/>
          <w:szCs w:val="32"/>
          <w:shd w:val="clear" w:color="auto" w:fill="FFFFFF"/>
        </w:rPr>
      </w:pPr>
    </w:p>
    <w:p w:rsidR="004C42EB" w:rsidRDefault="004C42EB" w:rsidP="004C42EB">
      <w:pPr>
        <w:shd w:val="solid" w:color="FFFFFF" w:fill="auto"/>
        <w:autoSpaceDN w:val="0"/>
        <w:spacing w:line="580" w:lineRule="exact"/>
        <w:ind w:leftChars="142" w:left="1258" w:right="300" w:hangingChars="300" w:hanging="960"/>
        <w:jc w:val="left"/>
        <w:rPr>
          <w:rFonts w:ascii="仿宋_GB2312" w:eastAsia="仿宋_GB2312" w:hAnsi="仿宋_GB2312" w:cs="仿宋_GB2312" w:hint="eastAsia"/>
          <w:sz w:val="32"/>
          <w:szCs w:val="32"/>
          <w:shd w:val="clear" w:color="auto" w:fill="FFFFFF"/>
        </w:rPr>
      </w:pPr>
    </w:p>
    <w:p w:rsidR="004C42EB" w:rsidRDefault="004C42EB" w:rsidP="004C42EB">
      <w:pPr>
        <w:shd w:val="solid" w:color="FFFFFF" w:fill="auto"/>
        <w:autoSpaceDN w:val="0"/>
        <w:spacing w:line="580" w:lineRule="exact"/>
        <w:ind w:leftChars="142" w:left="1258" w:right="300" w:hangingChars="300" w:hanging="960"/>
        <w:jc w:val="left"/>
        <w:rPr>
          <w:rFonts w:ascii="仿宋_GB2312" w:eastAsia="仿宋_GB2312" w:hAnsi="仿宋_GB2312" w:cs="仿宋_GB2312" w:hint="eastAsia"/>
          <w:sz w:val="32"/>
          <w:szCs w:val="32"/>
          <w:shd w:val="clear" w:color="auto" w:fill="FFFFFF"/>
        </w:rPr>
      </w:pPr>
    </w:p>
    <w:p w:rsidR="004C42EB" w:rsidRDefault="004C42EB" w:rsidP="004C42EB">
      <w:pPr>
        <w:shd w:val="solid" w:color="FFFFFF" w:fill="auto"/>
        <w:autoSpaceDN w:val="0"/>
        <w:spacing w:line="580" w:lineRule="exact"/>
        <w:ind w:leftChars="142" w:left="1258" w:right="300" w:hangingChars="300" w:hanging="960"/>
        <w:jc w:val="left"/>
        <w:rPr>
          <w:rFonts w:ascii="仿宋_GB2312" w:eastAsia="仿宋_GB2312" w:hAnsi="仿宋_GB2312" w:cs="仿宋_GB2312" w:hint="eastAsia"/>
          <w:sz w:val="32"/>
          <w:szCs w:val="32"/>
          <w:shd w:val="clear" w:color="auto" w:fill="FFFFFF"/>
        </w:rPr>
      </w:pPr>
    </w:p>
    <w:p w:rsidR="004C42EB" w:rsidRDefault="004C42EB" w:rsidP="004C42EB">
      <w:pPr>
        <w:shd w:val="solid" w:color="FFFFFF" w:fill="auto"/>
        <w:autoSpaceDN w:val="0"/>
        <w:spacing w:line="580" w:lineRule="exact"/>
        <w:ind w:leftChars="142" w:left="1258" w:right="300" w:hangingChars="300" w:hanging="960"/>
        <w:jc w:val="left"/>
        <w:rPr>
          <w:rFonts w:ascii="仿宋_GB2312" w:eastAsia="仿宋_GB2312" w:hAnsi="仿宋_GB2312" w:cs="仿宋_GB2312" w:hint="eastAsia"/>
          <w:sz w:val="32"/>
          <w:szCs w:val="32"/>
          <w:shd w:val="clear" w:color="auto" w:fill="FFFFFF"/>
        </w:rPr>
      </w:pPr>
    </w:p>
    <w:p w:rsidR="004C42EB" w:rsidRDefault="004C42EB" w:rsidP="004C42EB">
      <w:pPr>
        <w:shd w:val="solid" w:color="FFFFFF" w:fill="auto"/>
        <w:autoSpaceDN w:val="0"/>
        <w:spacing w:line="580" w:lineRule="exact"/>
        <w:ind w:right="300"/>
        <w:jc w:val="left"/>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lastRenderedPageBreak/>
        <w:t>附件</w:t>
      </w:r>
    </w:p>
    <w:p w:rsidR="004C42EB" w:rsidRDefault="004C42EB" w:rsidP="004C42EB">
      <w:pPr>
        <w:pStyle w:val="1"/>
        <w:jc w:val="center"/>
        <w:rPr>
          <w:rFonts w:ascii="仿宋_GB2312" w:eastAsia="仿宋_GB2312" w:hAnsi="仿宋_GB2312" w:cs="仿宋_GB2312" w:hint="eastAsia"/>
          <w:b w:val="0"/>
          <w:sz w:val="34"/>
          <w:szCs w:val="34"/>
          <w:shd w:val="clear" w:color="auto" w:fill="FFFFFF"/>
        </w:rPr>
      </w:pPr>
      <w:hyperlink r:id="rId6" w:history="1">
        <w:r>
          <w:rPr>
            <w:rFonts w:ascii="方正小标宋_GBK" w:eastAsia="方正小标宋_GBK" w:hAnsi="方正小标宋_GBK" w:cs="方正小标宋_GBK" w:hint="eastAsia"/>
            <w:sz w:val="34"/>
            <w:szCs w:val="34"/>
          </w:rPr>
          <w:t>广东省十三届人大常委会环保咨询专家选聘报名表</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2012"/>
        <w:gridCol w:w="795"/>
        <w:gridCol w:w="1470"/>
        <w:gridCol w:w="1350"/>
        <w:gridCol w:w="1475"/>
      </w:tblGrid>
      <w:tr w:rsidR="004C42EB" w:rsidTr="00613F01">
        <w:trPr>
          <w:trHeight w:val="582"/>
          <w:jc w:val="center"/>
        </w:trPr>
        <w:tc>
          <w:tcPr>
            <w:tcW w:w="941" w:type="dxa"/>
            <w:vAlign w:val="center"/>
          </w:tcPr>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姓名</w:t>
            </w:r>
          </w:p>
        </w:tc>
        <w:tc>
          <w:tcPr>
            <w:tcW w:w="2012" w:type="dxa"/>
            <w:vAlign w:val="center"/>
          </w:tcPr>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所在单位</w:t>
            </w:r>
          </w:p>
        </w:tc>
        <w:tc>
          <w:tcPr>
            <w:tcW w:w="795" w:type="dxa"/>
            <w:vAlign w:val="center"/>
          </w:tcPr>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年龄</w:t>
            </w:r>
          </w:p>
        </w:tc>
        <w:tc>
          <w:tcPr>
            <w:tcW w:w="1470" w:type="dxa"/>
            <w:vAlign w:val="center"/>
          </w:tcPr>
          <w:p w:rsidR="004C42EB" w:rsidRDefault="004C42EB" w:rsidP="00613F01">
            <w:pPr>
              <w:ind w:left="560" w:hangingChars="200" w:hanging="560"/>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政治面貌</w:t>
            </w:r>
          </w:p>
        </w:tc>
        <w:tc>
          <w:tcPr>
            <w:tcW w:w="1350" w:type="dxa"/>
            <w:vAlign w:val="center"/>
          </w:tcPr>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学习专业</w:t>
            </w:r>
          </w:p>
        </w:tc>
        <w:tc>
          <w:tcPr>
            <w:tcW w:w="1475" w:type="dxa"/>
            <w:vAlign w:val="center"/>
          </w:tcPr>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从事专业</w:t>
            </w:r>
          </w:p>
        </w:tc>
      </w:tr>
      <w:tr w:rsidR="004C42EB" w:rsidTr="00613F01">
        <w:trPr>
          <w:trHeight w:val="479"/>
          <w:jc w:val="center"/>
        </w:trPr>
        <w:tc>
          <w:tcPr>
            <w:tcW w:w="941" w:type="dxa"/>
          </w:tcPr>
          <w:p w:rsidR="004C42EB" w:rsidRDefault="004C42EB" w:rsidP="00613F01">
            <w:pPr>
              <w:rPr>
                <w:rFonts w:ascii="仿宋_GB2312" w:eastAsia="仿宋_GB2312" w:hAnsi="仿宋_GB2312" w:cs="仿宋_GB2312" w:hint="eastAsia"/>
                <w:sz w:val="32"/>
                <w:szCs w:val="32"/>
                <w:shd w:val="clear" w:color="auto" w:fill="FFFFFF"/>
              </w:rPr>
            </w:pPr>
          </w:p>
        </w:tc>
        <w:tc>
          <w:tcPr>
            <w:tcW w:w="2012" w:type="dxa"/>
          </w:tcPr>
          <w:p w:rsidR="004C42EB" w:rsidRDefault="004C42EB" w:rsidP="00613F01">
            <w:pPr>
              <w:rPr>
                <w:rFonts w:ascii="仿宋_GB2312" w:eastAsia="仿宋_GB2312" w:hAnsi="仿宋_GB2312" w:cs="仿宋_GB2312" w:hint="eastAsia"/>
                <w:sz w:val="32"/>
                <w:szCs w:val="32"/>
                <w:shd w:val="clear" w:color="auto" w:fill="FFFFFF"/>
              </w:rPr>
            </w:pPr>
          </w:p>
        </w:tc>
        <w:tc>
          <w:tcPr>
            <w:tcW w:w="795" w:type="dxa"/>
          </w:tcPr>
          <w:p w:rsidR="004C42EB" w:rsidRDefault="004C42EB" w:rsidP="00613F01">
            <w:pPr>
              <w:rPr>
                <w:rFonts w:ascii="仿宋_GB2312" w:eastAsia="仿宋_GB2312" w:hAnsi="仿宋_GB2312" w:cs="仿宋_GB2312" w:hint="eastAsia"/>
                <w:sz w:val="32"/>
                <w:szCs w:val="32"/>
                <w:shd w:val="clear" w:color="auto" w:fill="FFFFFF"/>
              </w:rPr>
            </w:pPr>
          </w:p>
        </w:tc>
        <w:tc>
          <w:tcPr>
            <w:tcW w:w="1470" w:type="dxa"/>
          </w:tcPr>
          <w:p w:rsidR="004C42EB" w:rsidRDefault="004C42EB" w:rsidP="00613F01">
            <w:pPr>
              <w:rPr>
                <w:rFonts w:ascii="仿宋_GB2312" w:eastAsia="仿宋_GB2312" w:hAnsi="仿宋_GB2312" w:cs="仿宋_GB2312" w:hint="eastAsia"/>
                <w:sz w:val="32"/>
                <w:szCs w:val="32"/>
                <w:shd w:val="clear" w:color="auto" w:fill="FFFFFF"/>
              </w:rPr>
            </w:pPr>
          </w:p>
        </w:tc>
        <w:tc>
          <w:tcPr>
            <w:tcW w:w="1350" w:type="dxa"/>
          </w:tcPr>
          <w:p w:rsidR="004C42EB" w:rsidRDefault="004C42EB" w:rsidP="00613F01">
            <w:pPr>
              <w:rPr>
                <w:rFonts w:ascii="仿宋_GB2312" w:eastAsia="仿宋_GB2312" w:hAnsi="仿宋_GB2312" w:cs="仿宋_GB2312" w:hint="eastAsia"/>
                <w:sz w:val="32"/>
                <w:szCs w:val="32"/>
                <w:shd w:val="clear" w:color="auto" w:fill="FFFFFF"/>
              </w:rPr>
            </w:pPr>
          </w:p>
        </w:tc>
        <w:tc>
          <w:tcPr>
            <w:tcW w:w="1475" w:type="dxa"/>
          </w:tcPr>
          <w:p w:rsidR="004C42EB" w:rsidRDefault="004C42EB" w:rsidP="00613F01">
            <w:pPr>
              <w:rPr>
                <w:rFonts w:ascii="仿宋_GB2312" w:eastAsia="仿宋_GB2312" w:hAnsi="仿宋_GB2312" w:cs="仿宋_GB2312" w:hint="eastAsia"/>
                <w:sz w:val="32"/>
                <w:szCs w:val="32"/>
                <w:shd w:val="clear" w:color="auto" w:fill="FFFFFF"/>
              </w:rPr>
            </w:pPr>
          </w:p>
        </w:tc>
      </w:tr>
      <w:tr w:rsidR="004C42EB" w:rsidTr="00613F01">
        <w:trPr>
          <w:trHeight w:val="881"/>
          <w:jc w:val="center"/>
        </w:trPr>
        <w:tc>
          <w:tcPr>
            <w:tcW w:w="941" w:type="dxa"/>
            <w:vMerge w:val="restart"/>
          </w:tcPr>
          <w:p w:rsidR="004C42EB" w:rsidRDefault="004C42EB" w:rsidP="00613F01">
            <w:pPr>
              <w:jc w:val="center"/>
              <w:rPr>
                <w:rFonts w:ascii="黑体" w:eastAsia="黑体" w:hAnsi="黑体" w:cs="黑体" w:hint="eastAsia"/>
                <w:sz w:val="28"/>
                <w:szCs w:val="28"/>
                <w:shd w:val="clear" w:color="auto" w:fill="FFFFFF"/>
              </w:rPr>
            </w:pPr>
          </w:p>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主</w:t>
            </w:r>
          </w:p>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要</w:t>
            </w:r>
          </w:p>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专</w:t>
            </w:r>
          </w:p>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业</w:t>
            </w:r>
          </w:p>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工</w:t>
            </w:r>
          </w:p>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作</w:t>
            </w:r>
          </w:p>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业</w:t>
            </w:r>
          </w:p>
          <w:p w:rsidR="004C42EB" w:rsidRDefault="004C42EB" w:rsidP="00613F01">
            <w:pPr>
              <w:jc w:val="center"/>
              <w:rPr>
                <w:rFonts w:ascii="仿宋_GB2312" w:eastAsia="仿宋_GB2312" w:hAnsi="仿宋_GB2312" w:cs="仿宋_GB2312" w:hint="eastAsia"/>
                <w:sz w:val="32"/>
                <w:szCs w:val="32"/>
                <w:shd w:val="clear" w:color="auto" w:fill="FFFFFF"/>
              </w:rPr>
            </w:pPr>
            <w:r>
              <w:rPr>
                <w:rFonts w:ascii="黑体" w:eastAsia="黑体" w:hAnsi="黑体" w:cs="黑体" w:hint="eastAsia"/>
                <w:sz w:val="28"/>
                <w:szCs w:val="28"/>
                <w:shd w:val="clear" w:color="auto" w:fill="FFFFFF"/>
              </w:rPr>
              <w:t>绩</w:t>
            </w:r>
          </w:p>
        </w:tc>
        <w:tc>
          <w:tcPr>
            <w:tcW w:w="7102" w:type="dxa"/>
            <w:gridSpan w:val="5"/>
            <w:vMerge w:val="restart"/>
          </w:tcPr>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jc w:val="righ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28"/>
                <w:szCs w:val="28"/>
                <w:shd w:val="clear" w:color="auto" w:fill="FFFFFF"/>
              </w:rPr>
              <w:t>(注：请附上相关业绩证明材料）</w:t>
            </w:r>
          </w:p>
        </w:tc>
      </w:tr>
      <w:tr w:rsidR="004C42EB" w:rsidTr="00613F01">
        <w:trPr>
          <w:trHeight w:val="881"/>
          <w:jc w:val="center"/>
        </w:trPr>
        <w:tc>
          <w:tcPr>
            <w:tcW w:w="941" w:type="dxa"/>
            <w:vMerge/>
          </w:tcPr>
          <w:p w:rsidR="004C42EB" w:rsidRDefault="004C42EB" w:rsidP="00613F01">
            <w:pPr>
              <w:rPr>
                <w:rFonts w:ascii="仿宋_GB2312" w:eastAsia="仿宋_GB2312" w:hAnsi="仿宋_GB2312" w:cs="仿宋_GB2312" w:hint="eastAsia"/>
                <w:sz w:val="32"/>
                <w:szCs w:val="32"/>
                <w:shd w:val="clear" w:color="auto" w:fill="FFFFFF"/>
              </w:rPr>
            </w:pPr>
          </w:p>
        </w:tc>
        <w:tc>
          <w:tcPr>
            <w:tcW w:w="7102" w:type="dxa"/>
            <w:gridSpan w:val="5"/>
            <w:vMerge/>
          </w:tcPr>
          <w:p w:rsidR="004C42EB" w:rsidRDefault="004C42EB" w:rsidP="00613F01">
            <w:pPr>
              <w:rPr>
                <w:rFonts w:ascii="仿宋_GB2312" w:eastAsia="仿宋_GB2312" w:hAnsi="仿宋_GB2312" w:cs="仿宋_GB2312" w:hint="eastAsia"/>
                <w:sz w:val="32"/>
                <w:szCs w:val="32"/>
                <w:shd w:val="clear" w:color="auto" w:fill="FFFFFF"/>
              </w:rPr>
            </w:pPr>
          </w:p>
        </w:tc>
      </w:tr>
      <w:tr w:rsidR="004C42EB" w:rsidTr="00613F01">
        <w:trPr>
          <w:trHeight w:val="881"/>
          <w:jc w:val="center"/>
        </w:trPr>
        <w:tc>
          <w:tcPr>
            <w:tcW w:w="941" w:type="dxa"/>
            <w:vMerge/>
          </w:tcPr>
          <w:p w:rsidR="004C42EB" w:rsidRDefault="004C42EB" w:rsidP="00613F01">
            <w:pPr>
              <w:rPr>
                <w:rFonts w:ascii="仿宋_GB2312" w:eastAsia="仿宋_GB2312" w:hAnsi="仿宋_GB2312" w:cs="仿宋_GB2312" w:hint="eastAsia"/>
                <w:sz w:val="32"/>
                <w:szCs w:val="32"/>
                <w:shd w:val="clear" w:color="auto" w:fill="FFFFFF"/>
              </w:rPr>
            </w:pPr>
          </w:p>
        </w:tc>
        <w:tc>
          <w:tcPr>
            <w:tcW w:w="7102" w:type="dxa"/>
            <w:gridSpan w:val="5"/>
            <w:vMerge/>
          </w:tcPr>
          <w:p w:rsidR="004C42EB" w:rsidRDefault="004C42EB" w:rsidP="00613F01">
            <w:pPr>
              <w:rPr>
                <w:rFonts w:ascii="仿宋_GB2312" w:eastAsia="仿宋_GB2312" w:hAnsi="仿宋_GB2312" w:cs="仿宋_GB2312" w:hint="eastAsia"/>
                <w:sz w:val="32"/>
                <w:szCs w:val="32"/>
                <w:shd w:val="clear" w:color="auto" w:fill="FFFFFF"/>
              </w:rPr>
            </w:pPr>
          </w:p>
        </w:tc>
      </w:tr>
      <w:tr w:rsidR="004C42EB" w:rsidTr="00613F01">
        <w:trPr>
          <w:trHeight w:val="881"/>
          <w:jc w:val="center"/>
        </w:trPr>
        <w:tc>
          <w:tcPr>
            <w:tcW w:w="941" w:type="dxa"/>
            <w:vMerge/>
          </w:tcPr>
          <w:p w:rsidR="004C42EB" w:rsidRDefault="004C42EB" w:rsidP="00613F01">
            <w:pPr>
              <w:rPr>
                <w:rFonts w:ascii="仿宋_GB2312" w:eastAsia="仿宋_GB2312" w:hAnsi="仿宋_GB2312" w:cs="仿宋_GB2312" w:hint="eastAsia"/>
                <w:sz w:val="32"/>
                <w:szCs w:val="32"/>
                <w:shd w:val="clear" w:color="auto" w:fill="FFFFFF"/>
              </w:rPr>
            </w:pPr>
          </w:p>
        </w:tc>
        <w:tc>
          <w:tcPr>
            <w:tcW w:w="7102" w:type="dxa"/>
            <w:gridSpan w:val="5"/>
            <w:vMerge/>
          </w:tcPr>
          <w:p w:rsidR="004C42EB" w:rsidRDefault="004C42EB" w:rsidP="00613F01">
            <w:pPr>
              <w:rPr>
                <w:rFonts w:ascii="仿宋_GB2312" w:eastAsia="仿宋_GB2312" w:hAnsi="仿宋_GB2312" w:cs="仿宋_GB2312" w:hint="eastAsia"/>
                <w:sz w:val="32"/>
                <w:szCs w:val="32"/>
                <w:shd w:val="clear" w:color="auto" w:fill="FFFFFF"/>
              </w:rPr>
            </w:pPr>
          </w:p>
        </w:tc>
      </w:tr>
      <w:tr w:rsidR="004C42EB" w:rsidTr="00613F01">
        <w:trPr>
          <w:trHeight w:val="2937"/>
          <w:jc w:val="center"/>
        </w:trPr>
        <w:tc>
          <w:tcPr>
            <w:tcW w:w="941" w:type="dxa"/>
            <w:vMerge/>
          </w:tcPr>
          <w:p w:rsidR="004C42EB" w:rsidRDefault="004C42EB" w:rsidP="00613F01">
            <w:pPr>
              <w:rPr>
                <w:rFonts w:ascii="仿宋_GB2312" w:eastAsia="仿宋_GB2312" w:hAnsi="仿宋_GB2312" w:cs="仿宋_GB2312" w:hint="eastAsia"/>
                <w:sz w:val="32"/>
                <w:szCs w:val="32"/>
                <w:shd w:val="clear" w:color="auto" w:fill="FFFFFF"/>
              </w:rPr>
            </w:pPr>
          </w:p>
        </w:tc>
        <w:tc>
          <w:tcPr>
            <w:tcW w:w="7102" w:type="dxa"/>
            <w:gridSpan w:val="5"/>
            <w:vMerge/>
          </w:tcPr>
          <w:p w:rsidR="004C42EB" w:rsidRDefault="004C42EB" w:rsidP="00613F01">
            <w:pPr>
              <w:rPr>
                <w:rFonts w:ascii="仿宋_GB2312" w:eastAsia="仿宋_GB2312" w:hAnsi="仿宋_GB2312" w:cs="仿宋_GB2312" w:hint="eastAsia"/>
                <w:sz w:val="32"/>
                <w:szCs w:val="32"/>
                <w:shd w:val="clear" w:color="auto" w:fill="FFFFFF"/>
              </w:rPr>
            </w:pPr>
          </w:p>
        </w:tc>
      </w:tr>
      <w:tr w:rsidR="004C42EB" w:rsidTr="00613F01">
        <w:trPr>
          <w:trHeight w:val="624"/>
          <w:jc w:val="center"/>
        </w:trPr>
        <w:tc>
          <w:tcPr>
            <w:tcW w:w="941" w:type="dxa"/>
            <w:vMerge/>
          </w:tcPr>
          <w:p w:rsidR="004C42EB" w:rsidRDefault="004C42EB" w:rsidP="00613F01">
            <w:pPr>
              <w:rPr>
                <w:rFonts w:ascii="仿宋_GB2312" w:eastAsia="仿宋_GB2312" w:hAnsi="仿宋_GB2312" w:cs="仿宋_GB2312" w:hint="eastAsia"/>
                <w:sz w:val="32"/>
                <w:szCs w:val="32"/>
                <w:shd w:val="clear" w:color="auto" w:fill="FFFFFF"/>
              </w:rPr>
            </w:pPr>
          </w:p>
        </w:tc>
        <w:tc>
          <w:tcPr>
            <w:tcW w:w="7102" w:type="dxa"/>
            <w:gridSpan w:val="5"/>
            <w:vMerge/>
          </w:tcPr>
          <w:p w:rsidR="004C42EB" w:rsidRDefault="004C42EB" w:rsidP="00613F01">
            <w:pPr>
              <w:rPr>
                <w:rFonts w:ascii="仿宋_GB2312" w:eastAsia="仿宋_GB2312" w:hAnsi="仿宋_GB2312" w:cs="仿宋_GB2312" w:hint="eastAsia"/>
                <w:sz w:val="32"/>
                <w:szCs w:val="32"/>
                <w:shd w:val="clear" w:color="auto" w:fill="FFFFFF"/>
              </w:rPr>
            </w:pPr>
          </w:p>
        </w:tc>
      </w:tr>
      <w:tr w:rsidR="004C42EB" w:rsidTr="00613F01">
        <w:trPr>
          <w:trHeight w:val="1672"/>
          <w:jc w:val="center"/>
        </w:trPr>
        <w:tc>
          <w:tcPr>
            <w:tcW w:w="941" w:type="dxa"/>
          </w:tcPr>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所在</w:t>
            </w:r>
          </w:p>
          <w:p w:rsidR="004C42EB" w:rsidRDefault="004C42EB" w:rsidP="00613F01">
            <w:pPr>
              <w:jc w:val="center"/>
              <w:rPr>
                <w:rFonts w:ascii="黑体" w:eastAsia="黑体" w:hAnsi="黑体" w:cs="黑体" w:hint="eastAsia"/>
                <w:sz w:val="28"/>
                <w:szCs w:val="28"/>
                <w:shd w:val="clear" w:color="auto" w:fill="FFFFFF"/>
              </w:rPr>
            </w:pPr>
            <w:r>
              <w:rPr>
                <w:rFonts w:ascii="黑体" w:eastAsia="黑体" w:hAnsi="黑体" w:cs="黑体" w:hint="eastAsia"/>
                <w:sz w:val="28"/>
                <w:szCs w:val="28"/>
                <w:shd w:val="clear" w:color="auto" w:fill="FFFFFF"/>
              </w:rPr>
              <w:t>单位</w:t>
            </w:r>
          </w:p>
          <w:p w:rsidR="004C42EB" w:rsidRDefault="004C42EB" w:rsidP="00613F01">
            <w:pPr>
              <w:jc w:val="center"/>
              <w:rPr>
                <w:rFonts w:ascii="仿宋_GB2312" w:eastAsia="仿宋_GB2312" w:hAnsi="仿宋_GB2312" w:cs="仿宋_GB2312" w:hint="eastAsia"/>
                <w:sz w:val="32"/>
                <w:szCs w:val="32"/>
                <w:shd w:val="clear" w:color="auto" w:fill="FFFFFF"/>
              </w:rPr>
            </w:pPr>
            <w:r>
              <w:rPr>
                <w:rFonts w:ascii="黑体" w:eastAsia="黑体" w:hAnsi="黑体" w:cs="黑体" w:hint="eastAsia"/>
                <w:sz w:val="28"/>
                <w:szCs w:val="28"/>
                <w:shd w:val="clear" w:color="auto" w:fill="FFFFFF"/>
              </w:rPr>
              <w:t>意见</w:t>
            </w:r>
          </w:p>
        </w:tc>
        <w:tc>
          <w:tcPr>
            <w:tcW w:w="7102" w:type="dxa"/>
            <w:gridSpan w:val="5"/>
          </w:tcPr>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rPr>
                <w:rFonts w:ascii="仿宋_GB2312" w:eastAsia="仿宋_GB2312" w:hAnsi="仿宋_GB2312" w:cs="仿宋_GB2312" w:hint="eastAsia"/>
                <w:sz w:val="32"/>
                <w:szCs w:val="32"/>
                <w:shd w:val="clear" w:color="auto" w:fill="FFFFFF"/>
              </w:rPr>
            </w:pPr>
          </w:p>
          <w:p w:rsidR="004C42EB" w:rsidRDefault="004C42EB" w:rsidP="00613F01">
            <w:pPr>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28"/>
                <w:szCs w:val="28"/>
                <w:shd w:val="clear" w:color="auto" w:fill="FFFFFF"/>
              </w:rPr>
              <w:t xml:space="preserve">          单位公章：</w:t>
            </w:r>
          </w:p>
        </w:tc>
      </w:tr>
    </w:tbl>
    <w:p w:rsidR="004C42EB" w:rsidRDefault="004C42EB" w:rsidP="004C42EB">
      <w:pPr>
        <w:shd w:val="solid" w:color="FFFFFF" w:fill="auto"/>
        <w:autoSpaceDN w:val="0"/>
        <w:spacing w:line="580" w:lineRule="exact"/>
        <w:ind w:right="300"/>
        <w:jc w:val="left"/>
        <w:rPr>
          <w:rFonts w:ascii="仿宋_GB2312" w:eastAsia="仿宋_GB2312" w:hAnsi="仿宋_GB2312" w:cs="仿宋_GB2312" w:hint="eastAsia"/>
          <w:sz w:val="32"/>
          <w:szCs w:val="32"/>
          <w:shd w:val="clear" w:color="auto" w:fill="FFFFFF"/>
        </w:rPr>
      </w:pPr>
    </w:p>
    <w:p w:rsidR="004C42EB" w:rsidRDefault="004C42EB" w:rsidP="004C42EB">
      <w:pPr>
        <w:spacing w:line="580" w:lineRule="exact"/>
        <w:rPr>
          <w:rFonts w:ascii="仿宋_GB2312" w:eastAsia="仿宋_GB2312" w:hAnsi="仿宋_GB2312" w:cs="仿宋_GB2312" w:hint="eastAsia"/>
          <w:sz w:val="32"/>
          <w:szCs w:val="32"/>
        </w:rPr>
      </w:pPr>
    </w:p>
    <w:p w:rsidR="004C42EB" w:rsidRDefault="004C42EB" w:rsidP="004C42EB">
      <w:pPr>
        <w:spacing w:line="580" w:lineRule="exact"/>
        <w:rPr>
          <w:rFonts w:ascii="仿宋_GB2312" w:eastAsia="仿宋_GB2312" w:hAnsi="仿宋_GB2312" w:cs="仿宋_GB2312" w:hint="eastAsia"/>
          <w:sz w:val="32"/>
          <w:szCs w:val="32"/>
        </w:rPr>
      </w:pPr>
    </w:p>
    <w:p w:rsidR="000F535A" w:rsidRDefault="000F535A"/>
    <w:sectPr w:rsidR="000F535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Microsoft JhengHei Light"/>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JhengHei Light"/>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EB"/>
    <w:rsid w:val="000F535A"/>
    <w:rsid w:val="004C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EB"/>
    <w:pPr>
      <w:widowControl w:val="0"/>
      <w:jc w:val="both"/>
    </w:pPr>
    <w:rPr>
      <w:rFonts w:ascii="Times New Roman" w:eastAsia="宋体" w:hAnsi="Times New Roman" w:cs="Times New Roman"/>
      <w:szCs w:val="20"/>
    </w:rPr>
  </w:style>
  <w:style w:type="paragraph" w:styleId="1">
    <w:name w:val="heading 1"/>
    <w:basedOn w:val="a"/>
    <w:next w:val="a"/>
    <w:link w:val="1Char"/>
    <w:qFormat/>
    <w:rsid w:val="004C42E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2EB"/>
    <w:rPr>
      <w:rFonts w:ascii="Times New Roman" w:eastAsia="宋体" w:hAnsi="Times New Roman" w:cs="Times New Roman"/>
      <w:b/>
      <w:kern w:val="44"/>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EB"/>
    <w:pPr>
      <w:widowControl w:val="0"/>
      <w:jc w:val="both"/>
    </w:pPr>
    <w:rPr>
      <w:rFonts w:ascii="Times New Roman" w:eastAsia="宋体" w:hAnsi="Times New Roman" w:cs="Times New Roman"/>
      <w:szCs w:val="20"/>
    </w:rPr>
  </w:style>
  <w:style w:type="paragraph" w:styleId="1">
    <w:name w:val="heading 1"/>
    <w:basedOn w:val="a"/>
    <w:next w:val="a"/>
    <w:link w:val="1Char"/>
    <w:qFormat/>
    <w:rsid w:val="004C42E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2EB"/>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d.gd.cn/pub/gdrd2012/gdrdfb/ggtz/201403/P020140324605164696599.xls" TargetMode="External"/><Relationship Id="rId5" Type="http://schemas.openxmlformats.org/officeDocument/2006/relationships/hyperlink" Target="mailto:hzwb@gdrd.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2018-03-05T03:00:00Z</dcterms:created>
  <dcterms:modified xsi:type="dcterms:W3CDTF">2018-03-05T03:04:00Z</dcterms:modified>
</cp:coreProperties>
</file>